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</w:pPr>
    </w:p>
    <w:p>
      <w:pPr>
        <w:pStyle w:val="3"/>
        <w:bidi w:val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52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  <w:t>23年安徽省信息技术应用创新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32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52"/>
          <w:highlight w:val="none"/>
        </w:rPr>
        <w:t>解决方案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  <w:t>申报信息表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88.9pt;height:255.25pt;width:347.7pt;mso-wrap-distance-bottom:0pt;mso-wrap-distance-top:0pt;z-index:251659264;mso-width-relative:page;mso-height-relative:page;" filled="f" stroked="f" coordsize="21600,21600" o:gfxdata="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l2blvYAAAA&#10;CgEAAA8AAAAAAAAAAQAgAAAAOAAAAGRycy9kb3ducmV2LnhtbFBLAQIUABQAAAAIAIdO4kCguSzT&#10;lQEAAAcDAAAOAAAAAAAAAAEAIAAAAD0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pbr2/2gAAAAkBAAAPAAAAAAAA&#10;AAEAIAAAADgAAABkcnMvZG93bnJldi54bWxQSwECFAAUAAAACACHTuJA1Q5KpjMCAAA3BAAADgAA&#10;AAAAAAABACAAAAA/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highlight w:val="none"/>
        </w:rPr>
      </w:pP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highlight w:val="none"/>
        </w:rPr>
        <w:t>填表须知</w:t>
      </w:r>
    </w:p>
    <w:p>
      <w:pPr>
        <w:bidi w:val="0"/>
        <w:jc w:val="center"/>
        <w:rPr>
          <w:rFonts w:hint="default" w:ascii="Times New Roman" w:hAnsi="Times New Roman" w:eastAsia="楷体" w:cs="Times New Roman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highlight w:val="none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申报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主体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应仔细阅读《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关于2023年xx省信息技术应用创新解决方案征集工作的通知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》的有关说明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如实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详细地填写每一部分内容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申报类别</w:t>
      </w:r>
    </w:p>
    <w:p>
      <w:pPr>
        <w:pStyle w:val="2"/>
        <w:numPr>
          <w:ilvl w:val="0"/>
          <w:numId w:val="0"/>
        </w:numPr>
        <w:shd w:val="clear"/>
        <w:ind w:firstLine="480" w:firstLineChars="200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（一）典型解决方案类别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：信创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企业为申报主体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，申报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对外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支撑或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服务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的信息技术应用创新解决方案，申报类别均属典型解决方案；</w:t>
      </w:r>
    </w:p>
    <w:p>
      <w:pPr>
        <w:pStyle w:val="2"/>
        <w:numPr>
          <w:ilvl w:val="-1"/>
          <w:numId w:val="0"/>
        </w:numPr>
        <w:shd w:val="clear"/>
        <w:ind w:firstLine="480" w:firstLineChars="200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（二）应用示范案例类别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：用户单位为申报主体，申报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本单位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本系统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自建或自用的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信息技术应用创新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实践案例，申报类别均属应用示范案例。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三、允许以联合体方式参与申报，联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合体中的单位数量不超过3家，申报主体申报范围和申报类别均以牵头单位信息为准。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除另有说明外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  <w:t>表中栏目不得空缺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2.材料中图片分辨率不低于</w:t>
      </w:r>
      <w:r>
        <w:rPr>
          <w:rFonts w:hint="default" w:ascii="Times New Roman" w:hAnsi="Times New Roman" w:eastAsia="楷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300dpi，7M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（四）申报材料要求盖章处，须加盖公章，复印无效。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六、相关名词说明</w:t>
      </w:r>
    </w:p>
    <w:p>
      <w:pPr>
        <w:ind w:firstLine="480" w:firstLineChars="200"/>
        <w:jc w:val="left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技术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方向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指该方案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或案例采用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的核心技术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芯片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操作系统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数据库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存储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终端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安全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密码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人工智能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云计算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大数据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Hans"/>
        </w:rPr>
        <w:t>区块链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若采用多个核心技术，则挑选典型性最强、优势最突出、技术最热门的技术方向，其余技术方向为辅助技术方向。</w:t>
      </w:r>
    </w:p>
    <w:p>
      <w:pPr>
        <w:pStyle w:val="2"/>
        <w:ind w:firstLine="42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（四）支撑平台。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指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（七）安全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Hans"/>
        </w:rPr>
        <w:t>保障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（八）运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Hans"/>
        </w:rPr>
        <w:t>行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维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Hans"/>
        </w:rPr>
        <w:t>护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（九）终端设备。要素可包括：终端整机（台式机、笔记本、一体机、平板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Hans"/>
        </w:rPr>
        <w:t>云桌面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（十）专用设备。要素可包括：党务政务领域专用设备（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政务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一体机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等）、金融领域专用设备（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自助取款机ATM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信用卡终端机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销售终端机POS机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收银机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验钞机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等）、交通领域专用设备（ETC、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北斗导航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接收机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交通信号灯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等）、工业领域专用设备（工控设备、电表、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工业机器人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、P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LC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流水生产线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</w:rPr>
        <w:t>射频识别</w:t>
      </w: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23年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安徽省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信息技术应用创新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解决方案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填写单位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可参照自行拓展）</w:t>
      </w:r>
    </w:p>
    <w:tbl>
      <w:tblPr>
        <w:tblStyle w:val="7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联合单位简介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单独申报可不填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（填报202</w:t>
            </w:r>
            <w:r>
              <w:rPr>
                <w:rFonts w:hint="eastAsia" w:eastAsia="仿宋_GB2312" w:cs="Times New Roman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年度数据）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信创业务收入占比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同比增速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信创业务收入同比增速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员工人数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研发人员占比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研发投入占成本费用总额比例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（请勿超22字 ，方案命名格式建议为：【公司简称】+【基于（技术）】+【解决或处理什么问题】+解决方案，其中【公司简称】可根据实际情况选择是否添加。）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方案采用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辅助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门户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办公自动化（OA）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电子邮件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党群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纪检监察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战略决策管理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企业资源管理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用户服务管理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客户关系管理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生产制造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研发设计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工程管理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运营管理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安全环保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组织人事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财务管理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调度管理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决策支撑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监控预警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政务服务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信息公开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信访投诉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6、其他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按技术功能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支撑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信息资源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专用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方案适用场景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（详细描述解决方案的应用场景，包括背景、目标、应用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场景、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欧拉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列出具体兼容适配情况清单，并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本部分根据方案实际应用场景选填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迁移情况</w:t>
            </w:r>
          </w:p>
        </w:tc>
        <w:tc>
          <w:tcPr>
            <w:tcW w:w="5274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（简要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描述解决方案的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迁移流程、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迁移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迁移方案等，重点突出迁移前后的技术路线对比及解决的突出问题等）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（描述方案的技术特色、亮点、核心竞争力等，重点突出取得的重大技术突破、单点技术创新、全栈信创应用等，尽可能用可量化指标描述）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（描述解决方案所应用项目中相关建设的规模数量、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覆盖范围、资金投入、实施周期、应用成效、用户满意度等，尽可能用可量化指标。可选取1-3个典型案例重点描述，应用规模大、业务代表性强、信创产品应用占比高的方案优先）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（总结提炼解决方案在落地应用中取得的重大突破和示范成果，如新技术、新应用、新模式的探索创新，全栈信创方案的落地应用以及共性应用难题的协同攻关等，并提供相关证明材料，附于1-1佐证材料目录后）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知识产权、标准及获奖情况（与申报方案相关）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知识产权总数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其中：专利数量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其中：软著数量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参与标准总数（个）</w:t>
            </w:r>
          </w:p>
        </w:tc>
        <w:tc>
          <w:tcPr>
            <w:tcW w:w="6524" w:type="dxa"/>
            <w:gridSpan w:val="8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所获荣誉总数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  <w:sectPr>
          <w:pgSz w:w="11906" w:h="16838"/>
          <w:pgMar w:top="1440" w:right="1800" w:bottom="1440" w:left="1800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附件1-1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1.解决方案架构图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佐证材料目录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（说明：提供的证明材料须与解决方案直接相关，依次附于表后，所有证明材料加盖申报单位公章。申报应用示范案例的主体，选择性提供。）</w:t>
      </w:r>
    </w:p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>附件1-2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根据《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开展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安徽省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信息技术应用创新解决方案征集工作的通知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》要求，我单位提交了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thick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解决方案的信息表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1.我单位对提供的全部资料的真实性负责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2.我单位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提交材料所涉及的解决方案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3.我单位对所提交的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内容负有保密责任，按照国家相关保密规定，所提交的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盖单位公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章）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default" w:ascii="Times New Roman" w:hAnsi="Times New Roman" w:cs="Times New Roman"/>
          <w:color w:val="auto"/>
          <w:highlight w:val="none"/>
        </w:rPr>
        <w:sectPr>
          <w:pgSz w:w="11906" w:h="16838"/>
          <w:pgMar w:top="1440" w:right="1800" w:bottom="1440" w:left="1800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附件1-3</w:t>
      </w:r>
    </w:p>
    <w:tbl>
      <w:tblPr>
        <w:tblStyle w:val="7"/>
        <w:tblpPr w:leftFromText="180" w:rightFromText="180" w:vertAnchor="text" w:horzAnchor="page" w:tblpX="1817" w:tblpY="1206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502"/>
        <w:gridCol w:w="3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核心功能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场景特点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重要行业领域，如党政、金融、能源等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每一业务场景下的细分应用场景（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每一细分业务场景的特点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文档管理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公文管理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行政办公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财务管理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交易业务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高并发、高可靠、低时延、可扩展、安全、易用等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Hans"/>
        </w:rPr>
        <w:t>业务应用场景信息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填报要求及示例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  <w:lang w:val="en-US" w:eastAsia="zh-CN"/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jQ1YWZjOWU3NzZkNjAyNTZlNDhkNGIxNzg1NTc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7C3466"/>
    <w:rsid w:val="027F6AB2"/>
    <w:rsid w:val="0284056C"/>
    <w:rsid w:val="028A042D"/>
    <w:rsid w:val="02B04EBD"/>
    <w:rsid w:val="02C96657"/>
    <w:rsid w:val="02D768EE"/>
    <w:rsid w:val="02E32D09"/>
    <w:rsid w:val="02F92D08"/>
    <w:rsid w:val="02FC6355"/>
    <w:rsid w:val="031418F0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7202E6"/>
    <w:rsid w:val="09840E52"/>
    <w:rsid w:val="09862E1C"/>
    <w:rsid w:val="09917286"/>
    <w:rsid w:val="09977B7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507DEF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1F4E62"/>
    <w:rsid w:val="0C216E2C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DDE092A"/>
    <w:rsid w:val="0E195140"/>
    <w:rsid w:val="0E2A1FC8"/>
    <w:rsid w:val="0E323572"/>
    <w:rsid w:val="0E462B7A"/>
    <w:rsid w:val="0E5B31E4"/>
    <w:rsid w:val="0E6B1AE5"/>
    <w:rsid w:val="0E8D1A28"/>
    <w:rsid w:val="0EA967E6"/>
    <w:rsid w:val="0EAC1DBE"/>
    <w:rsid w:val="0EBD108E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74EE5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4F64A1"/>
    <w:rsid w:val="12584140"/>
    <w:rsid w:val="127B54E8"/>
    <w:rsid w:val="127E28E2"/>
    <w:rsid w:val="12820F2D"/>
    <w:rsid w:val="12906AB9"/>
    <w:rsid w:val="1299596E"/>
    <w:rsid w:val="12CA3D5F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5B6F0B"/>
    <w:rsid w:val="15742C66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C2342"/>
    <w:rsid w:val="17D31922"/>
    <w:rsid w:val="17D7387E"/>
    <w:rsid w:val="17EC02EE"/>
    <w:rsid w:val="17EC6540"/>
    <w:rsid w:val="180775E7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A82F09"/>
    <w:rsid w:val="1DAD6772"/>
    <w:rsid w:val="1DB13BDD"/>
    <w:rsid w:val="1DB96EC4"/>
    <w:rsid w:val="1DD106B2"/>
    <w:rsid w:val="1DD65CC8"/>
    <w:rsid w:val="1DF148B0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4E46A2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E4A2D"/>
    <w:rsid w:val="300F506A"/>
    <w:rsid w:val="30110DE2"/>
    <w:rsid w:val="3025488D"/>
    <w:rsid w:val="30281C88"/>
    <w:rsid w:val="302D66A2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60532"/>
    <w:rsid w:val="340B78F6"/>
    <w:rsid w:val="340F4B4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85E7A"/>
    <w:rsid w:val="427B7848"/>
    <w:rsid w:val="42831BF8"/>
    <w:rsid w:val="428E0070"/>
    <w:rsid w:val="429B0086"/>
    <w:rsid w:val="429F402B"/>
    <w:rsid w:val="42DC12B5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6D5994"/>
    <w:rsid w:val="44815A58"/>
    <w:rsid w:val="4484172B"/>
    <w:rsid w:val="448E6105"/>
    <w:rsid w:val="449A33BF"/>
    <w:rsid w:val="44C82380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5950F1"/>
    <w:rsid w:val="479E48B1"/>
    <w:rsid w:val="47B11718"/>
    <w:rsid w:val="47BD76E3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D115B26"/>
    <w:rsid w:val="4D1259F4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45F32"/>
    <w:rsid w:val="4E490933"/>
    <w:rsid w:val="4E501903"/>
    <w:rsid w:val="4E807407"/>
    <w:rsid w:val="4E816CDB"/>
    <w:rsid w:val="4EA36AC1"/>
    <w:rsid w:val="4EC2357B"/>
    <w:rsid w:val="4ECC43FA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A159E1"/>
    <w:rsid w:val="54AD082A"/>
    <w:rsid w:val="54CD2C7A"/>
    <w:rsid w:val="54D44EDF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CB47DB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F731C1"/>
    <w:rsid w:val="59F760D4"/>
    <w:rsid w:val="59FB5B93"/>
    <w:rsid w:val="5A1A6C5A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CD17B1"/>
    <w:rsid w:val="5BCE2C90"/>
    <w:rsid w:val="5C14118E"/>
    <w:rsid w:val="5C182A2D"/>
    <w:rsid w:val="5C1B251D"/>
    <w:rsid w:val="5C237623"/>
    <w:rsid w:val="5C292E8C"/>
    <w:rsid w:val="5C49558A"/>
    <w:rsid w:val="5C657C3C"/>
    <w:rsid w:val="5C67342A"/>
    <w:rsid w:val="5C8E2CEF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E3D49CC"/>
    <w:rsid w:val="5E5B4E53"/>
    <w:rsid w:val="5E5B5EEA"/>
    <w:rsid w:val="5E6C52B2"/>
    <w:rsid w:val="5E7B3747"/>
    <w:rsid w:val="5E92136D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F200D"/>
    <w:rsid w:val="62FC497A"/>
    <w:rsid w:val="630261E5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A7730"/>
    <w:rsid w:val="67DF4D46"/>
    <w:rsid w:val="67EB0496"/>
    <w:rsid w:val="68016A6B"/>
    <w:rsid w:val="680B4763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F215C96"/>
    <w:rsid w:val="6F2F65B3"/>
    <w:rsid w:val="6F5222A2"/>
    <w:rsid w:val="6F566693"/>
    <w:rsid w:val="6F6D2C38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C568A"/>
    <w:rsid w:val="77F049A0"/>
    <w:rsid w:val="77F1032F"/>
    <w:rsid w:val="77F739E6"/>
    <w:rsid w:val="77F75794"/>
    <w:rsid w:val="77FA641A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7678E7"/>
    <w:rsid w:val="7F875650"/>
    <w:rsid w:val="7F895E5F"/>
    <w:rsid w:val="7FAC6129"/>
    <w:rsid w:val="7FB431E1"/>
    <w:rsid w:val="7FBB063B"/>
    <w:rsid w:val="7FC51D4D"/>
    <w:rsid w:val="7FC70142"/>
    <w:rsid w:val="7FD76ED6"/>
    <w:rsid w:val="7FEB7D7F"/>
    <w:rsid w:val="7FEE3406"/>
    <w:rsid w:val="7FF1B8F6"/>
    <w:rsid w:val="8BE347DB"/>
    <w:rsid w:val="8FDE28B5"/>
    <w:rsid w:val="9FE69629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DFFD0080"/>
    <w:rsid w:val="E3BC53E5"/>
    <w:rsid w:val="E5F3D173"/>
    <w:rsid w:val="EBAB961C"/>
    <w:rsid w:val="F672658C"/>
    <w:rsid w:val="F6F786BD"/>
    <w:rsid w:val="F782F9DA"/>
    <w:rsid w:val="F7D9758E"/>
    <w:rsid w:val="F857F816"/>
    <w:rsid w:val="F9B99E1E"/>
    <w:rsid w:val="F9F6C35E"/>
    <w:rsid w:val="FA7F4666"/>
    <w:rsid w:val="FAD324B4"/>
    <w:rsid w:val="FB772E91"/>
    <w:rsid w:val="FBC92C89"/>
    <w:rsid w:val="FBD6A291"/>
    <w:rsid w:val="FBDE89F3"/>
    <w:rsid w:val="FBDEFF77"/>
    <w:rsid w:val="FDFC64EC"/>
    <w:rsid w:val="FEFFD056"/>
    <w:rsid w:val="FF1B544D"/>
    <w:rsid w:val="FF769D11"/>
    <w:rsid w:val="FFB708CF"/>
    <w:rsid w:val="FFB76453"/>
    <w:rsid w:val="FFB7AE2B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5325</Words>
  <Characters>5466</Characters>
  <Lines>0</Lines>
  <Paragraphs>0</Paragraphs>
  <TotalTime>21</TotalTime>
  <ScaleCrop>false</ScaleCrop>
  <LinksUpToDate>false</LinksUpToDate>
  <CharactersWithSpaces>6143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2021-08-06T16:58:00Z</dcterms:created>
  <dc:creator>Henry</dc:creator>
  <cp:lastModifiedBy>费枝梅</cp:lastModifiedBy>
  <cp:lastPrinted>2023-07-26T16:36:24Z</cp:lastPrinted>
  <dcterms:modified xsi:type="dcterms:W3CDTF">2023-07-26T16:50:15Z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035F6A8D2F2B35B1E601A56427EF787F</vt:lpwstr>
  </property>
</Properties>
</file>